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AD" w:rsidRDefault="00540B59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09376" cy="7845105"/>
            <wp:effectExtent l="19050" t="0" r="5674" b="0"/>
            <wp:docPr id="1" name="il_fi" descr="http://www.peninsula.wednet.edu/classroom/leek/documents/Chemistry%20Labs/lab_equip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ninsula.wednet.edu/classroom/leek/documents/Chemistry%20Labs/lab_equipme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595" cy="785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B59" w:rsidRDefault="00540B59"/>
    <w:p w:rsidR="00540B59" w:rsidRDefault="00540B59"/>
    <w:p w:rsidR="003E059E" w:rsidRDefault="003E059E"/>
    <w:p w:rsidR="00C470C1" w:rsidRDefault="00C470C1" w:rsidP="00806D64">
      <w:pPr>
        <w:spacing w:after="0" w:line="240" w:lineRule="auto"/>
      </w:pPr>
      <w:r w:rsidRPr="00806D64">
        <w:rPr>
          <w:rFonts w:ascii="Copperplate Gothic Bold" w:hAnsi="Copperplate Gothic Bold"/>
        </w:rPr>
        <w:lastRenderedPageBreak/>
        <w:t>Name __________________________________________</w:t>
      </w:r>
      <w:r w:rsidRPr="00806D64">
        <w:rPr>
          <w:rFonts w:ascii="Copperplate Gothic Bold" w:hAnsi="Copperplate Gothic Bold"/>
        </w:rPr>
        <w:tab/>
      </w:r>
      <w:r w:rsidR="007232B2">
        <w:rPr>
          <w:rFonts w:ascii="Copperplate Gothic Bold" w:hAnsi="Copperplate Gothic Bold"/>
        </w:rPr>
        <w:tab/>
      </w:r>
      <w:r w:rsidR="007232B2">
        <w:rPr>
          <w:rFonts w:ascii="Copperplate Gothic Bold" w:hAnsi="Copperplate Gothic Bold"/>
        </w:rPr>
        <w:tab/>
      </w:r>
      <w:r w:rsidRPr="00806D64">
        <w:rPr>
          <w:rFonts w:ascii="Copperplate Gothic Bold" w:hAnsi="Copperplate Gothic Bold"/>
        </w:rPr>
        <w:t>Date _______</w:t>
      </w:r>
      <w:r w:rsidRPr="00806D64">
        <w:rPr>
          <w:rFonts w:ascii="Copperplate Gothic Bold" w:hAnsi="Copperplate Gothic Bold"/>
        </w:rPr>
        <w:tab/>
        <w:t>Period ______</w:t>
      </w:r>
      <w:r w:rsidR="00806D64" w:rsidRPr="00806D64">
        <w:rPr>
          <w:rFonts w:ascii="Copperplate Gothic Bold" w:hAnsi="Copperplate Gothic Bold"/>
        </w:rPr>
        <w:br/>
      </w:r>
      <w:r w:rsidR="00806D64" w:rsidRPr="00806D64">
        <w:rPr>
          <w:rFonts w:ascii="Copperplate Gothic Bold" w:hAnsi="Copperplate Gothic Bold"/>
          <w:b/>
          <w:sz w:val="24"/>
          <w:szCs w:val="24"/>
        </w:rPr>
        <w:t>Laboratory Equipment</w:t>
      </w:r>
    </w:p>
    <w:p w:rsidR="003E059E" w:rsidRPr="007232B2" w:rsidRDefault="007232B2" w:rsidP="00806D64">
      <w:pPr>
        <w:spacing w:after="0" w:line="240" w:lineRule="auto"/>
      </w:pPr>
      <w:r w:rsidRPr="00684958">
        <w:rPr>
          <w:b/>
        </w:rPr>
        <w:t>Part 1</w:t>
      </w:r>
      <w:r w:rsidR="00684958">
        <w:t xml:space="preserve">:  </w:t>
      </w:r>
      <w:r w:rsidR="003E059E" w:rsidRPr="007232B2">
        <w:t xml:space="preserve">Identify </w:t>
      </w:r>
      <w:r w:rsidR="00C470C1" w:rsidRPr="007232B2">
        <w:t>the type of laboratory equipment, identify</w:t>
      </w:r>
      <w:r w:rsidR="003E059E" w:rsidRPr="007232B2">
        <w:t xml:space="preserve"> the </w:t>
      </w:r>
      <w:r w:rsidR="00C470C1" w:rsidRPr="007232B2">
        <w:t xml:space="preserve">intended </w:t>
      </w:r>
      <w:r w:rsidR="003E059E" w:rsidRPr="007232B2">
        <w:t>use</w:t>
      </w:r>
      <w:r w:rsidR="00C470C1" w:rsidRPr="007232B2">
        <w:t>, and record the degree of uncertainty</w:t>
      </w:r>
      <w:r w:rsidR="003E059E" w:rsidRPr="007232B2">
        <w:t xml:space="preserve"> </w:t>
      </w:r>
      <w:r w:rsidRPr="007232B2">
        <w:t xml:space="preserve">and measurement of object (include units for both uncertainty and measurement) </w:t>
      </w:r>
      <w:r w:rsidR="003E059E" w:rsidRPr="007232B2">
        <w:t>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2187"/>
        <w:gridCol w:w="1932"/>
        <w:gridCol w:w="2184"/>
        <w:gridCol w:w="2184"/>
      </w:tblGrid>
      <w:tr w:rsidR="001828B8" w:rsidTr="001828B8">
        <w:tc>
          <w:tcPr>
            <w:tcW w:w="2241" w:type="dxa"/>
          </w:tcPr>
          <w:p w:rsidR="001828B8" w:rsidRPr="00684958" w:rsidRDefault="001828B8" w:rsidP="00806D6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684958">
              <w:rPr>
                <w:b/>
                <w:sz w:val="24"/>
                <w:szCs w:val="24"/>
              </w:rPr>
              <w:t>Equipment</w:t>
            </w:r>
          </w:p>
        </w:tc>
        <w:tc>
          <w:tcPr>
            <w:tcW w:w="2187" w:type="dxa"/>
          </w:tcPr>
          <w:p w:rsidR="001828B8" w:rsidRPr="00684958" w:rsidRDefault="001828B8" w:rsidP="003E059E">
            <w:pPr>
              <w:jc w:val="center"/>
              <w:rPr>
                <w:b/>
                <w:sz w:val="24"/>
                <w:szCs w:val="24"/>
              </w:rPr>
            </w:pPr>
            <w:r w:rsidRPr="0068495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32" w:type="dxa"/>
          </w:tcPr>
          <w:p w:rsidR="001828B8" w:rsidRPr="00684958" w:rsidRDefault="001828B8" w:rsidP="003E059E">
            <w:pPr>
              <w:jc w:val="center"/>
              <w:rPr>
                <w:b/>
                <w:sz w:val="24"/>
                <w:szCs w:val="24"/>
              </w:rPr>
            </w:pPr>
            <w:r w:rsidRPr="00684958">
              <w:rPr>
                <w:b/>
                <w:sz w:val="24"/>
                <w:szCs w:val="24"/>
              </w:rPr>
              <w:t>Use</w:t>
            </w:r>
          </w:p>
        </w:tc>
        <w:tc>
          <w:tcPr>
            <w:tcW w:w="2184" w:type="dxa"/>
          </w:tcPr>
          <w:p w:rsidR="001828B8" w:rsidRPr="00684958" w:rsidRDefault="001828B8" w:rsidP="003E059E">
            <w:pPr>
              <w:jc w:val="center"/>
              <w:rPr>
                <w:b/>
                <w:sz w:val="24"/>
                <w:szCs w:val="24"/>
              </w:rPr>
            </w:pPr>
            <w:r w:rsidRPr="00684958">
              <w:rPr>
                <w:b/>
                <w:sz w:val="24"/>
                <w:szCs w:val="24"/>
              </w:rPr>
              <w:t>Uncertainty</w:t>
            </w:r>
          </w:p>
        </w:tc>
        <w:tc>
          <w:tcPr>
            <w:tcW w:w="2184" w:type="dxa"/>
          </w:tcPr>
          <w:p w:rsidR="001828B8" w:rsidRPr="00684958" w:rsidRDefault="00FF4C7F" w:rsidP="003E05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</w:tr>
      <w:bookmarkEnd w:id="0"/>
      <w:tr w:rsidR="001828B8" w:rsidTr="001828B8">
        <w:tc>
          <w:tcPr>
            <w:tcW w:w="2241" w:type="dxa"/>
          </w:tcPr>
          <w:p w:rsidR="001828B8" w:rsidRPr="00684958" w:rsidRDefault="001828B8" w:rsidP="00C470C1">
            <w:pPr>
              <w:rPr>
                <w:rFonts w:ascii="Arial" w:hAnsi="Arial" w:cs="Arial"/>
                <w:sz w:val="24"/>
                <w:szCs w:val="24"/>
              </w:rPr>
            </w:pPr>
            <w:r w:rsidRPr="00684958">
              <w:rPr>
                <w:rFonts w:ascii="Arial" w:hAnsi="Arial" w:cs="Arial"/>
                <w:sz w:val="24"/>
                <w:szCs w:val="24"/>
              </w:rPr>
              <w:t>Station 1</w:t>
            </w:r>
          </w:p>
          <w:p w:rsidR="001828B8" w:rsidRDefault="001828B8" w:rsidP="00C470C1">
            <w:pPr>
              <w:rPr>
                <w:sz w:val="24"/>
                <w:szCs w:val="24"/>
              </w:rPr>
            </w:pPr>
          </w:p>
          <w:p w:rsidR="00684958" w:rsidRPr="00684958" w:rsidRDefault="00684958" w:rsidP="00C470C1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</w:tr>
      <w:tr w:rsidR="001828B8" w:rsidTr="001828B8">
        <w:tc>
          <w:tcPr>
            <w:tcW w:w="2241" w:type="dxa"/>
          </w:tcPr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84958">
              <w:rPr>
                <w:rFonts w:ascii="Arial" w:hAnsi="Arial" w:cs="Arial"/>
                <w:noProof/>
                <w:sz w:val="24"/>
                <w:szCs w:val="24"/>
              </w:rPr>
              <w:t>Station 2</w:t>
            </w:r>
          </w:p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87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</w:tr>
      <w:tr w:rsidR="001828B8" w:rsidTr="001828B8">
        <w:tc>
          <w:tcPr>
            <w:tcW w:w="2241" w:type="dxa"/>
          </w:tcPr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84958">
              <w:rPr>
                <w:rFonts w:ascii="Arial" w:hAnsi="Arial" w:cs="Arial"/>
                <w:noProof/>
                <w:sz w:val="24"/>
                <w:szCs w:val="24"/>
              </w:rPr>
              <w:t>Station 3</w:t>
            </w:r>
          </w:p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87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</w:tr>
      <w:tr w:rsidR="001828B8" w:rsidTr="001828B8">
        <w:tc>
          <w:tcPr>
            <w:tcW w:w="2241" w:type="dxa"/>
          </w:tcPr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84958">
              <w:rPr>
                <w:rFonts w:ascii="Arial" w:hAnsi="Arial" w:cs="Arial"/>
                <w:noProof/>
                <w:sz w:val="24"/>
                <w:szCs w:val="24"/>
              </w:rPr>
              <w:t>Station 4</w:t>
            </w:r>
          </w:p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87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</w:tr>
      <w:tr w:rsidR="001828B8" w:rsidTr="001828B8">
        <w:tc>
          <w:tcPr>
            <w:tcW w:w="2241" w:type="dxa"/>
          </w:tcPr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84958">
              <w:rPr>
                <w:rFonts w:ascii="Arial" w:hAnsi="Arial" w:cs="Arial"/>
                <w:noProof/>
                <w:sz w:val="24"/>
                <w:szCs w:val="24"/>
              </w:rPr>
              <w:t>Station 5</w:t>
            </w:r>
          </w:p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87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</w:tr>
      <w:tr w:rsidR="001828B8" w:rsidTr="001828B8">
        <w:tc>
          <w:tcPr>
            <w:tcW w:w="2241" w:type="dxa"/>
          </w:tcPr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84958">
              <w:rPr>
                <w:rFonts w:ascii="Arial" w:hAnsi="Arial" w:cs="Arial"/>
                <w:noProof/>
                <w:sz w:val="24"/>
                <w:szCs w:val="24"/>
              </w:rPr>
              <w:t>Station 6</w:t>
            </w:r>
          </w:p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87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</w:tr>
      <w:tr w:rsidR="001828B8" w:rsidTr="001828B8">
        <w:tc>
          <w:tcPr>
            <w:tcW w:w="2241" w:type="dxa"/>
          </w:tcPr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84958">
              <w:rPr>
                <w:rFonts w:ascii="Arial" w:hAnsi="Arial" w:cs="Arial"/>
                <w:noProof/>
                <w:sz w:val="24"/>
                <w:szCs w:val="24"/>
              </w:rPr>
              <w:t>Station 7</w:t>
            </w:r>
          </w:p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87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</w:tr>
      <w:tr w:rsidR="001828B8" w:rsidTr="001828B8">
        <w:tc>
          <w:tcPr>
            <w:tcW w:w="2241" w:type="dxa"/>
          </w:tcPr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84958">
              <w:rPr>
                <w:rFonts w:ascii="Arial" w:hAnsi="Arial" w:cs="Arial"/>
                <w:noProof/>
                <w:sz w:val="24"/>
                <w:szCs w:val="24"/>
              </w:rPr>
              <w:t>Station 8</w:t>
            </w:r>
          </w:p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828B8" w:rsidRPr="00684958" w:rsidRDefault="001828B8" w:rsidP="00C470C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87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1828B8" w:rsidRPr="00684958" w:rsidRDefault="001828B8" w:rsidP="003E059E">
            <w:pPr>
              <w:jc w:val="center"/>
              <w:rPr>
                <w:sz w:val="24"/>
                <w:szCs w:val="24"/>
              </w:rPr>
            </w:pPr>
          </w:p>
        </w:tc>
      </w:tr>
      <w:tr w:rsidR="001828B8" w:rsidTr="004802DE">
        <w:tc>
          <w:tcPr>
            <w:tcW w:w="2241" w:type="dxa"/>
          </w:tcPr>
          <w:p w:rsidR="00684958" w:rsidRDefault="00684958" w:rsidP="003E059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1.</w:t>
            </w:r>
          </w:p>
          <w:p w:rsidR="001828B8" w:rsidRPr="0091237C" w:rsidRDefault="001828B8" w:rsidP="003E059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65368" cy="805699"/>
                  <wp:effectExtent l="19050" t="0" r="1432" b="0"/>
                  <wp:docPr id="22" name="il_fi" descr="http://photos.labx.com/labx/402000/402913-0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hotos.labx.com/labx/402000/402913-0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920" cy="806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828B8" w:rsidRDefault="001828B8" w:rsidP="003E059E">
            <w:pPr>
              <w:jc w:val="center"/>
            </w:pPr>
          </w:p>
        </w:tc>
        <w:tc>
          <w:tcPr>
            <w:tcW w:w="1932" w:type="dxa"/>
          </w:tcPr>
          <w:p w:rsidR="001828B8" w:rsidRDefault="001828B8" w:rsidP="003E059E">
            <w:pPr>
              <w:jc w:val="center"/>
            </w:pPr>
          </w:p>
        </w:tc>
        <w:tc>
          <w:tcPr>
            <w:tcW w:w="4368" w:type="dxa"/>
            <w:gridSpan w:val="2"/>
            <w:vMerge w:val="restart"/>
          </w:tcPr>
          <w:p w:rsidR="001828B8" w:rsidRPr="00C470C1" w:rsidRDefault="00FF4C7F" w:rsidP="00806D64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2540</wp:posOffset>
                      </wp:positionV>
                      <wp:extent cx="2706370" cy="3754755"/>
                      <wp:effectExtent l="0" t="0" r="17780" b="1714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6370" cy="3754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4.75pt;margin-top:.2pt;width:213.1pt;height:2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3175</wp:posOffset>
                      </wp:positionV>
                      <wp:extent cx="2706370" cy="3754755"/>
                      <wp:effectExtent l="0" t="0" r="17780" b="1714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06370" cy="3754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4.7pt;margin-top:.25pt;width:213.1pt;height:295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"/>
                  </w:pict>
                </mc:Fallback>
              </mc:AlternateContent>
            </w:r>
          </w:p>
        </w:tc>
      </w:tr>
      <w:tr w:rsidR="001828B8" w:rsidTr="004802DE">
        <w:tc>
          <w:tcPr>
            <w:tcW w:w="2241" w:type="dxa"/>
          </w:tcPr>
          <w:p w:rsidR="00684958" w:rsidRDefault="00684958" w:rsidP="003E059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2. </w:t>
            </w:r>
          </w:p>
          <w:p w:rsidR="001828B8" w:rsidRDefault="001828B8" w:rsidP="003E059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26622" cy="784983"/>
                  <wp:effectExtent l="19050" t="0" r="0" b="0"/>
                  <wp:docPr id="24" name="il_fi" descr="http://unitednuclear.com/images/gau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nitednuclear.com/images/gau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709" cy="793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828B8" w:rsidRDefault="001828B8" w:rsidP="003E059E">
            <w:pPr>
              <w:jc w:val="center"/>
            </w:pPr>
          </w:p>
        </w:tc>
        <w:tc>
          <w:tcPr>
            <w:tcW w:w="1932" w:type="dxa"/>
          </w:tcPr>
          <w:p w:rsidR="001828B8" w:rsidRDefault="001828B8" w:rsidP="003E059E">
            <w:pPr>
              <w:jc w:val="center"/>
            </w:pPr>
          </w:p>
        </w:tc>
        <w:tc>
          <w:tcPr>
            <w:tcW w:w="4368" w:type="dxa"/>
            <w:gridSpan w:val="2"/>
            <w:vMerge/>
          </w:tcPr>
          <w:p w:rsidR="001828B8" w:rsidRDefault="001828B8" w:rsidP="003E059E">
            <w:pPr>
              <w:jc w:val="center"/>
            </w:pPr>
          </w:p>
        </w:tc>
      </w:tr>
      <w:tr w:rsidR="001828B8" w:rsidTr="004802DE">
        <w:tc>
          <w:tcPr>
            <w:tcW w:w="2241" w:type="dxa"/>
          </w:tcPr>
          <w:p w:rsidR="001828B8" w:rsidRDefault="00684958" w:rsidP="003E059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3.</w:t>
            </w:r>
            <w:r w:rsidR="001828B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57997" cy="617469"/>
                  <wp:effectExtent l="19050" t="0" r="4053" b="0"/>
                  <wp:docPr id="26" name="il_fi" descr="http://www.sciencelabsupplies.com/images/P/LabScoop_3580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ciencelabsupplies.com/images/P/LabScoop_3580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27" cy="621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828B8" w:rsidRDefault="001828B8" w:rsidP="003E059E">
            <w:pPr>
              <w:jc w:val="center"/>
            </w:pPr>
          </w:p>
        </w:tc>
        <w:tc>
          <w:tcPr>
            <w:tcW w:w="1932" w:type="dxa"/>
          </w:tcPr>
          <w:p w:rsidR="001828B8" w:rsidRDefault="001828B8" w:rsidP="003E059E">
            <w:pPr>
              <w:jc w:val="center"/>
            </w:pPr>
          </w:p>
        </w:tc>
        <w:tc>
          <w:tcPr>
            <w:tcW w:w="4368" w:type="dxa"/>
            <w:gridSpan w:val="2"/>
            <w:vMerge/>
          </w:tcPr>
          <w:p w:rsidR="001828B8" w:rsidRDefault="001828B8" w:rsidP="003E059E">
            <w:pPr>
              <w:jc w:val="center"/>
            </w:pPr>
          </w:p>
        </w:tc>
      </w:tr>
      <w:tr w:rsidR="001828B8" w:rsidTr="004802DE">
        <w:tc>
          <w:tcPr>
            <w:tcW w:w="2241" w:type="dxa"/>
          </w:tcPr>
          <w:p w:rsidR="00684958" w:rsidRDefault="00684958" w:rsidP="003E059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84958" w:rsidRDefault="00684958" w:rsidP="003E059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4.</w:t>
            </w:r>
          </w:p>
          <w:p w:rsidR="001828B8" w:rsidRDefault="001828B8" w:rsidP="003E059E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56440" cy="856440"/>
                  <wp:effectExtent l="19050" t="0" r="810" b="0"/>
                  <wp:docPr id="27" name="il_fi" descr="http://files.turbosquid.com/Preview/2010/12/04__21_30_00/tongs-c03.jpg9efbf01f-ac88-485f-97ef-8fcb5c862ef0Lar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iles.turbosquid.com/Preview/2010/12/04__21_30_00/tongs-c03.jpg9efbf01f-ac88-485f-97ef-8fcb5c862ef0Lar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01" cy="859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1828B8" w:rsidRDefault="001828B8" w:rsidP="003E059E">
            <w:pPr>
              <w:jc w:val="center"/>
            </w:pPr>
          </w:p>
        </w:tc>
        <w:tc>
          <w:tcPr>
            <w:tcW w:w="1932" w:type="dxa"/>
          </w:tcPr>
          <w:p w:rsidR="001828B8" w:rsidRDefault="001828B8" w:rsidP="003E059E">
            <w:pPr>
              <w:jc w:val="center"/>
            </w:pPr>
          </w:p>
        </w:tc>
        <w:tc>
          <w:tcPr>
            <w:tcW w:w="4368" w:type="dxa"/>
            <w:gridSpan w:val="2"/>
            <w:vMerge/>
          </w:tcPr>
          <w:p w:rsidR="001828B8" w:rsidRDefault="001828B8" w:rsidP="003E059E">
            <w:pPr>
              <w:jc w:val="center"/>
            </w:pPr>
          </w:p>
        </w:tc>
      </w:tr>
    </w:tbl>
    <w:p w:rsidR="003E059E" w:rsidRPr="007232B2" w:rsidRDefault="007232B2" w:rsidP="007232B2">
      <w:pPr>
        <w:spacing w:after="0" w:line="240" w:lineRule="auto"/>
        <w:rPr>
          <w:sz w:val="28"/>
          <w:szCs w:val="28"/>
        </w:rPr>
      </w:pPr>
      <w:r w:rsidRPr="007232B2">
        <w:rPr>
          <w:sz w:val="28"/>
          <w:szCs w:val="28"/>
        </w:rPr>
        <w:lastRenderedPageBreak/>
        <w:t>Part 2</w:t>
      </w:r>
    </w:p>
    <w:p w:rsidR="007232B2" w:rsidRDefault="007232B2" w:rsidP="007232B2">
      <w:pPr>
        <w:spacing w:after="0" w:line="240" w:lineRule="auto"/>
        <w:rPr>
          <w:sz w:val="28"/>
          <w:szCs w:val="28"/>
        </w:rPr>
      </w:pPr>
      <w:r w:rsidRPr="007232B2">
        <w:rPr>
          <w:sz w:val="28"/>
          <w:szCs w:val="28"/>
        </w:rPr>
        <w:t>Answer the following questions in complete sentences.</w:t>
      </w:r>
    </w:p>
    <w:p w:rsidR="007232B2" w:rsidRPr="007232B2" w:rsidRDefault="007232B2" w:rsidP="007232B2">
      <w:pPr>
        <w:spacing w:after="0" w:line="240" w:lineRule="auto"/>
        <w:rPr>
          <w:sz w:val="28"/>
          <w:szCs w:val="28"/>
        </w:rPr>
      </w:pPr>
    </w:p>
    <w:p w:rsidR="007232B2" w:rsidRDefault="007232B2" w:rsidP="007232B2">
      <w:pPr>
        <w:pStyle w:val="ListParagraph"/>
        <w:numPr>
          <w:ilvl w:val="0"/>
          <w:numId w:val="1"/>
        </w:numPr>
      </w:pPr>
      <w:r>
        <w:t xml:space="preserve">Which </w:t>
      </w:r>
      <w:r w:rsidR="00B90979">
        <w:t xml:space="preserve">lab station </w:t>
      </w:r>
      <w:r>
        <w:t>container(s) from Part 1 is</w:t>
      </w:r>
      <w:r w:rsidR="0068666E">
        <w:t xml:space="preserve"> </w:t>
      </w:r>
      <w:r w:rsidR="005C08EB">
        <w:t>(are)</w:t>
      </w:r>
      <w:r>
        <w:t xml:space="preserve"> appropriate to use in measuring volume of liquids?  Explain your reasoning.</w:t>
      </w:r>
    </w:p>
    <w:p w:rsidR="007232B2" w:rsidRDefault="007232B2" w:rsidP="007232B2">
      <w:pPr>
        <w:pStyle w:val="ListParagraph"/>
      </w:pPr>
    </w:p>
    <w:p w:rsidR="007232B2" w:rsidRDefault="007232B2" w:rsidP="007232B2">
      <w:pPr>
        <w:pStyle w:val="ListParagraph"/>
      </w:pPr>
    </w:p>
    <w:p w:rsidR="007232B2" w:rsidRDefault="007232B2" w:rsidP="007232B2">
      <w:pPr>
        <w:pStyle w:val="ListParagraph"/>
      </w:pPr>
    </w:p>
    <w:p w:rsidR="007232B2" w:rsidRDefault="007232B2" w:rsidP="007232B2">
      <w:pPr>
        <w:pStyle w:val="ListParagraph"/>
      </w:pPr>
    </w:p>
    <w:p w:rsidR="007232B2" w:rsidRDefault="007232B2" w:rsidP="007232B2">
      <w:pPr>
        <w:pStyle w:val="ListParagraph"/>
      </w:pPr>
    </w:p>
    <w:p w:rsidR="007232B2" w:rsidRDefault="007232B2" w:rsidP="007232B2">
      <w:pPr>
        <w:pStyle w:val="ListParagraph"/>
      </w:pPr>
    </w:p>
    <w:p w:rsidR="00684958" w:rsidRDefault="00684958" w:rsidP="007232B2">
      <w:pPr>
        <w:pStyle w:val="ListParagraph"/>
      </w:pPr>
    </w:p>
    <w:p w:rsidR="007232B2" w:rsidRDefault="007232B2" w:rsidP="007232B2">
      <w:pPr>
        <w:pStyle w:val="ListParagraph"/>
      </w:pPr>
    </w:p>
    <w:p w:rsidR="007232B2" w:rsidRDefault="007232B2" w:rsidP="007232B2">
      <w:pPr>
        <w:pStyle w:val="ListParagraph"/>
        <w:numPr>
          <w:ilvl w:val="0"/>
          <w:numId w:val="1"/>
        </w:numPr>
      </w:pPr>
      <w:r>
        <w:t xml:space="preserve">Which </w:t>
      </w:r>
      <w:r w:rsidR="00B90979">
        <w:t xml:space="preserve">lab station </w:t>
      </w:r>
      <w:r>
        <w:t xml:space="preserve">containers from Part 1 are good for mixing or heating solutions, but </w:t>
      </w:r>
      <w:r w:rsidR="005C08EB">
        <w:t xml:space="preserve">are </w:t>
      </w:r>
      <w:r>
        <w:t>not</w:t>
      </w:r>
      <w:r w:rsidR="005C08EB">
        <w:t xml:space="preserve"> good</w:t>
      </w:r>
      <w:r>
        <w:t xml:space="preserve"> for measuring</w:t>
      </w:r>
      <w:r w:rsidR="007C5009">
        <w:t xml:space="preserve"> volume</w:t>
      </w:r>
      <w:r>
        <w:t>?  Explain your reasoning.</w:t>
      </w:r>
    </w:p>
    <w:p w:rsidR="007232B2" w:rsidRDefault="007232B2" w:rsidP="007232B2">
      <w:pPr>
        <w:pStyle w:val="ListParagraph"/>
      </w:pPr>
    </w:p>
    <w:p w:rsidR="007232B2" w:rsidRDefault="007232B2" w:rsidP="007232B2">
      <w:pPr>
        <w:pStyle w:val="ListParagraph"/>
      </w:pPr>
    </w:p>
    <w:p w:rsidR="007232B2" w:rsidRDefault="007232B2" w:rsidP="007232B2">
      <w:pPr>
        <w:pStyle w:val="ListParagraph"/>
      </w:pPr>
    </w:p>
    <w:p w:rsidR="007232B2" w:rsidRDefault="007232B2" w:rsidP="007232B2">
      <w:pPr>
        <w:pStyle w:val="ListParagraph"/>
      </w:pPr>
    </w:p>
    <w:p w:rsidR="007232B2" w:rsidRDefault="007232B2" w:rsidP="007232B2">
      <w:pPr>
        <w:pStyle w:val="ListParagraph"/>
      </w:pPr>
    </w:p>
    <w:p w:rsidR="00684958" w:rsidRDefault="00684958" w:rsidP="007232B2">
      <w:pPr>
        <w:pStyle w:val="ListParagraph"/>
      </w:pPr>
    </w:p>
    <w:p w:rsidR="007232B2" w:rsidRDefault="007232B2" w:rsidP="007232B2">
      <w:pPr>
        <w:pStyle w:val="ListParagraph"/>
      </w:pPr>
    </w:p>
    <w:p w:rsidR="007232B2" w:rsidRDefault="007232B2" w:rsidP="007232B2">
      <w:pPr>
        <w:pStyle w:val="ListParagraph"/>
      </w:pPr>
    </w:p>
    <w:p w:rsidR="007232B2" w:rsidRDefault="007232B2" w:rsidP="007232B2">
      <w:pPr>
        <w:pStyle w:val="ListParagraph"/>
      </w:pPr>
    </w:p>
    <w:p w:rsidR="007232B2" w:rsidRDefault="007C5009" w:rsidP="007232B2">
      <w:pPr>
        <w:pStyle w:val="ListParagraph"/>
        <w:numPr>
          <w:ilvl w:val="0"/>
          <w:numId w:val="1"/>
        </w:numPr>
      </w:pPr>
      <w:r>
        <w:t>Why is picture 3 from Part 1 not an acceptable item to be used for stirring solutions?</w:t>
      </w:r>
    </w:p>
    <w:p w:rsidR="007C5009" w:rsidRDefault="007C5009" w:rsidP="007C5009">
      <w:pPr>
        <w:pStyle w:val="ListParagraph"/>
      </w:pPr>
    </w:p>
    <w:p w:rsidR="007C5009" w:rsidRDefault="007C5009" w:rsidP="007C5009">
      <w:pPr>
        <w:pStyle w:val="ListParagraph"/>
      </w:pPr>
    </w:p>
    <w:p w:rsidR="007C5009" w:rsidRDefault="007C5009" w:rsidP="007C5009">
      <w:pPr>
        <w:pStyle w:val="ListParagraph"/>
      </w:pPr>
    </w:p>
    <w:p w:rsidR="007C5009" w:rsidRDefault="007C5009" w:rsidP="007C5009">
      <w:pPr>
        <w:pStyle w:val="ListParagraph"/>
      </w:pPr>
    </w:p>
    <w:p w:rsidR="007C5009" w:rsidRDefault="007C5009" w:rsidP="007C5009">
      <w:pPr>
        <w:pStyle w:val="ListParagraph"/>
      </w:pPr>
    </w:p>
    <w:p w:rsidR="007C5009" w:rsidRDefault="007C5009" w:rsidP="007C5009">
      <w:pPr>
        <w:pStyle w:val="ListParagraph"/>
      </w:pPr>
    </w:p>
    <w:p w:rsidR="007C5009" w:rsidRDefault="007C5009" w:rsidP="007C5009">
      <w:pPr>
        <w:pStyle w:val="ListParagraph"/>
      </w:pPr>
    </w:p>
    <w:p w:rsidR="007C5009" w:rsidRDefault="007C5009" w:rsidP="007C5009">
      <w:pPr>
        <w:pStyle w:val="ListParagraph"/>
      </w:pPr>
    </w:p>
    <w:p w:rsidR="007C5009" w:rsidRDefault="007C5009" w:rsidP="007232B2">
      <w:pPr>
        <w:pStyle w:val="ListParagraph"/>
        <w:numPr>
          <w:ilvl w:val="0"/>
          <w:numId w:val="1"/>
        </w:numPr>
      </w:pPr>
      <w:r>
        <w:t>Briefly explain the rule for determining the uncertainty of laboratory equipment in chemistry.</w:t>
      </w:r>
    </w:p>
    <w:p w:rsidR="007232B2" w:rsidRDefault="007232B2" w:rsidP="007232B2"/>
    <w:sectPr w:rsidR="007232B2" w:rsidSect="006849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5A03"/>
    <w:multiLevelType w:val="hybridMultilevel"/>
    <w:tmpl w:val="EB104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9"/>
    <w:rsid w:val="000055A2"/>
    <w:rsid w:val="00075911"/>
    <w:rsid w:val="001828B8"/>
    <w:rsid w:val="003E059E"/>
    <w:rsid w:val="004639AD"/>
    <w:rsid w:val="004A25F4"/>
    <w:rsid w:val="00540B59"/>
    <w:rsid w:val="005C08EB"/>
    <w:rsid w:val="00684958"/>
    <w:rsid w:val="0068666E"/>
    <w:rsid w:val="007232B2"/>
    <w:rsid w:val="007C5009"/>
    <w:rsid w:val="008053E2"/>
    <w:rsid w:val="00806D64"/>
    <w:rsid w:val="00A41437"/>
    <w:rsid w:val="00B90979"/>
    <w:rsid w:val="00C470C1"/>
    <w:rsid w:val="00CB5E8D"/>
    <w:rsid w:val="00E125C1"/>
    <w:rsid w:val="00EF5AA1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itsuser</dc:creator>
  <cp:lastModifiedBy>Littleton Public Schools</cp:lastModifiedBy>
  <cp:revision>2</cp:revision>
  <cp:lastPrinted>2014-08-19T22:00:00Z</cp:lastPrinted>
  <dcterms:created xsi:type="dcterms:W3CDTF">2015-08-11T20:00:00Z</dcterms:created>
  <dcterms:modified xsi:type="dcterms:W3CDTF">2015-08-11T20:00:00Z</dcterms:modified>
</cp:coreProperties>
</file>