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B1" w:rsidRDefault="00B44DB1" w:rsidP="00B44DB1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6.5 Nerves</w:t>
      </w:r>
    </w:p>
    <w:p w:rsidR="00B44DB1" w:rsidRDefault="00B44DB1" w:rsidP="00B44DB1">
      <w:pPr>
        <w:pStyle w:val="Default"/>
      </w:pPr>
    </w:p>
    <w:tbl>
      <w:tblPr>
        <w:tblW w:w="794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60"/>
        <w:gridCol w:w="3118"/>
        <w:gridCol w:w="3970"/>
      </w:tblGrid>
      <w:tr w:rsidR="00154B18" w:rsidTr="00154B18">
        <w:trPr>
          <w:trHeight w:val="38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54B18" w:rsidRDefault="00154B18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Assessment statement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54B18" w:rsidRDefault="00154B18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Teacher’s notes </w:t>
            </w:r>
          </w:p>
        </w:tc>
      </w:tr>
      <w:tr w:rsidR="00154B18" w:rsidTr="00154B18">
        <w:trPr>
          <w:trHeight w:val="124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6.5.1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State that the nervous system consists of the central nervous system (CNS) and peripheral nerves, and is composed of cells called neurons that can carry rapid electrical impulses.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No other structural or functional divisions of the nervous system are required. </w:t>
            </w:r>
          </w:p>
        </w:tc>
      </w:tr>
      <w:tr w:rsidR="00154B18" w:rsidTr="00154B18">
        <w:trPr>
          <w:trHeight w:val="80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6.5.2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Draw and label a diagram of the structure of a motor neuron.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Include dendrites, cell body with nucleus, axon, myelin sheath, nodes of </w:t>
            </w:r>
            <w:proofErr w:type="spellStart"/>
            <w:r>
              <w:rPr>
                <w:color w:val="211D1E"/>
                <w:sz w:val="18"/>
                <w:szCs w:val="18"/>
              </w:rPr>
              <w:t>Ranvier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and motor end plates. </w:t>
            </w:r>
          </w:p>
        </w:tc>
      </w:tr>
      <w:tr w:rsidR="00154B18" w:rsidTr="00154B18">
        <w:trPr>
          <w:trHeight w:val="124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6.5.3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State </w:t>
            </w:r>
            <w:proofErr w:type="gramStart"/>
            <w:r>
              <w:rPr>
                <w:color w:val="211D1E"/>
                <w:sz w:val="18"/>
                <w:szCs w:val="18"/>
              </w:rPr>
              <w:t>that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 nerve impulses are conducted from receptors to the CNS by sensory neurons, within the CNS by relay neurons, and from the CNS to effectors by motor neurons.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80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6.5.4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Define </w:t>
            </w:r>
            <w:r>
              <w:rPr>
                <w:i/>
                <w:iCs/>
                <w:color w:val="211D1E"/>
                <w:sz w:val="18"/>
                <w:szCs w:val="18"/>
              </w:rPr>
              <w:t>resting potential</w:t>
            </w:r>
            <w:r w:rsidR="00C54CDE">
              <w:rPr>
                <w:i/>
                <w:iCs/>
                <w:color w:val="211D1E"/>
                <w:sz w:val="18"/>
                <w:szCs w:val="18"/>
              </w:rPr>
              <w:t xml:space="preserve"> </w:t>
            </w:r>
            <w:r>
              <w:rPr>
                <w:color w:val="211D1E"/>
                <w:sz w:val="18"/>
                <w:szCs w:val="18"/>
              </w:rPr>
              <w:t xml:space="preserve">and </w:t>
            </w:r>
            <w:r>
              <w:rPr>
                <w:i/>
                <w:iCs/>
                <w:color w:val="211D1E"/>
                <w:sz w:val="18"/>
                <w:szCs w:val="18"/>
              </w:rPr>
              <w:t>action potential</w:t>
            </w:r>
            <w:r w:rsidR="00C54CDE">
              <w:rPr>
                <w:i/>
                <w:iCs/>
                <w:color w:val="211D1E"/>
                <w:sz w:val="18"/>
                <w:szCs w:val="18"/>
              </w:rPr>
              <w:t xml:space="preserve"> </w:t>
            </w:r>
            <w:r>
              <w:rPr>
                <w:color w:val="211D1E"/>
                <w:sz w:val="18"/>
                <w:szCs w:val="18"/>
              </w:rPr>
              <w:t xml:space="preserve">(depolarization and </w:t>
            </w:r>
            <w:proofErr w:type="spellStart"/>
            <w:r>
              <w:rPr>
                <w:color w:val="211D1E"/>
                <w:sz w:val="18"/>
                <w:szCs w:val="18"/>
              </w:rPr>
              <w:t>repolarization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).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58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6.5.5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>Explain how a nerve impulse passes along a non-</w:t>
            </w:r>
            <w:proofErr w:type="spellStart"/>
            <w:r>
              <w:rPr>
                <w:color w:val="211D1E"/>
                <w:sz w:val="18"/>
                <w:szCs w:val="18"/>
              </w:rPr>
              <w:t>myelinated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neuron.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Include the movement of </w:t>
            </w:r>
            <w:proofErr w:type="spellStart"/>
            <w:r>
              <w:rPr>
                <w:color w:val="211D1E"/>
                <w:sz w:val="18"/>
                <w:szCs w:val="18"/>
              </w:rPr>
              <w:t>Na</w:t>
            </w:r>
            <w:r>
              <w:rPr>
                <w:color w:val="211D1E"/>
                <w:sz w:val="11"/>
                <w:szCs w:val="11"/>
              </w:rPr>
              <w:t>+</w:t>
            </w:r>
            <w:r>
              <w:rPr>
                <w:color w:val="211D1E"/>
                <w:sz w:val="18"/>
                <w:szCs w:val="18"/>
              </w:rPr>
              <w:t>and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11D1E"/>
                <w:sz w:val="18"/>
                <w:szCs w:val="18"/>
              </w:rPr>
              <w:t>K</w:t>
            </w:r>
            <w:r>
              <w:rPr>
                <w:color w:val="211D1E"/>
                <w:sz w:val="11"/>
                <w:szCs w:val="11"/>
              </w:rPr>
              <w:t>+</w:t>
            </w:r>
            <w:r>
              <w:rPr>
                <w:color w:val="211D1E"/>
                <w:sz w:val="18"/>
                <w:szCs w:val="18"/>
              </w:rPr>
              <w:t>ions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to create a resting potential and an action potential. </w:t>
            </w:r>
          </w:p>
        </w:tc>
      </w:tr>
      <w:tr w:rsidR="00154B18" w:rsidTr="00154B18">
        <w:trPr>
          <w:trHeight w:val="174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6.5.6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Explain the principles of synaptic transmission.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 w:rsidP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Include the release, diffusion and binding of the neurotransmitter, initiation of an action potential in the post-synaptic membrane, and subsequent removal of the neurotransmitter. </w:t>
            </w:r>
          </w:p>
        </w:tc>
      </w:tr>
    </w:tbl>
    <w:p w:rsidR="00B44DB1" w:rsidRDefault="00B44DB1" w:rsidP="00B44DB1">
      <w:pPr>
        <w:pStyle w:val="Default"/>
        <w:rPr>
          <w:rFonts w:cs="Times New Roman"/>
          <w:color w:val="auto"/>
        </w:rPr>
      </w:pPr>
    </w:p>
    <w:p w:rsidR="00B44DB1" w:rsidRDefault="00B44DB1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Default="00215DCC" w:rsidP="00B44DB1">
      <w:pPr>
        <w:pStyle w:val="Default"/>
      </w:pPr>
    </w:p>
    <w:p w:rsidR="00215DCC" w:rsidRPr="00215DCC" w:rsidRDefault="00215DCC" w:rsidP="00B44DB1">
      <w:pPr>
        <w:pStyle w:val="Default"/>
        <w:rPr>
          <w:b/>
        </w:rPr>
      </w:pPr>
      <w:r w:rsidRPr="00215DCC">
        <w:rPr>
          <w:b/>
        </w:rPr>
        <w:lastRenderedPageBreak/>
        <w:t xml:space="preserve">6.5 </w:t>
      </w:r>
      <w:r>
        <w:rPr>
          <w:b/>
        </w:rPr>
        <w:t xml:space="preserve">continued: </w:t>
      </w:r>
      <w:r w:rsidRPr="00215DCC">
        <w:rPr>
          <w:b/>
        </w:rPr>
        <w:t>Hormones and Homeostasis</w:t>
      </w:r>
    </w:p>
    <w:tbl>
      <w:tblPr>
        <w:tblW w:w="795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53"/>
        <w:gridCol w:w="2007"/>
        <w:gridCol w:w="267"/>
        <w:gridCol w:w="678"/>
        <w:gridCol w:w="317"/>
        <w:gridCol w:w="3828"/>
      </w:tblGrid>
      <w:tr w:rsidR="00154B18" w:rsidTr="00154B18">
        <w:trPr>
          <w:trHeight w:val="380"/>
        </w:trPr>
        <w:tc>
          <w:tcPr>
            <w:tcW w:w="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54B18" w:rsidRDefault="00154B18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Assessment statement 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54B18" w:rsidRDefault="00154B18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Teacher’s notes </w:t>
            </w:r>
          </w:p>
        </w:tc>
      </w:tr>
      <w:tr w:rsidR="00154B18" w:rsidTr="00154B18">
        <w:trPr>
          <w:trHeight w:val="1020"/>
        </w:trPr>
        <w:tc>
          <w:tcPr>
            <w:tcW w:w="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6.5.7 </w:t>
            </w:r>
          </w:p>
        </w:tc>
        <w:tc>
          <w:tcPr>
            <w:tcW w:w="32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State that the endocrine system consists of glands that release hormones that are transported in the blood. 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The nature and action of hormones or direct comparisons between nerve and endocrine systems are not required. </w:t>
            </w:r>
          </w:p>
        </w:tc>
      </w:tr>
      <w:tr w:rsidR="00154B18" w:rsidTr="00154B18">
        <w:trPr>
          <w:trHeight w:val="1463"/>
        </w:trPr>
        <w:tc>
          <w:tcPr>
            <w:tcW w:w="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6.5.8 </w:t>
            </w:r>
          </w:p>
        </w:tc>
        <w:tc>
          <w:tcPr>
            <w:tcW w:w="32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State that homeostasis involves maintaining the internal environment between limits, including blood pH, carbon dioxide concentration, blood glucose concentration, body temperature and water balance. 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The internal environment consists of blood and tissue fluid. </w:t>
            </w:r>
          </w:p>
        </w:tc>
      </w:tr>
      <w:tr w:rsidR="00154B18" w:rsidTr="00154B18">
        <w:trPr>
          <w:trHeight w:val="1023"/>
        </w:trPr>
        <w:tc>
          <w:tcPr>
            <w:tcW w:w="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6.5.9 </w:t>
            </w:r>
          </w:p>
        </w:tc>
        <w:tc>
          <w:tcPr>
            <w:tcW w:w="32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Explain that homeostasis involves monitoring levels of variables and correcting changes in levels by negative feedback mechanisms. 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1243"/>
        </w:trPr>
        <w:tc>
          <w:tcPr>
            <w:tcW w:w="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6.5.10 </w:t>
            </w:r>
          </w:p>
        </w:tc>
        <w:tc>
          <w:tcPr>
            <w:tcW w:w="32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Explain the control of body temperature, including the transfer of heat in blood, and the roles of the hypothalamus, sweat glands, </w:t>
            </w:r>
            <w:proofErr w:type="gramStart"/>
            <w:r>
              <w:rPr>
                <w:color w:val="211D1E"/>
                <w:sz w:val="18"/>
                <w:szCs w:val="18"/>
              </w:rPr>
              <w:t>skin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 arterioles and shivering. 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</w:p>
        </w:tc>
      </w:tr>
      <w:tr w:rsidR="00154B18" w:rsidTr="00154B18">
        <w:trPr>
          <w:trHeight w:val="1020"/>
        </w:trPr>
        <w:tc>
          <w:tcPr>
            <w:tcW w:w="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6.5.11 </w:t>
            </w:r>
          </w:p>
        </w:tc>
        <w:tc>
          <w:tcPr>
            <w:tcW w:w="32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Explain the control of blood glucose concentration, including the roles of glucagon, insulin and α and β cells in the pancreatic islets. 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The effects of adrenaline are not required here. </w:t>
            </w:r>
          </w:p>
        </w:tc>
      </w:tr>
      <w:tr w:rsidR="00154B18" w:rsidTr="00154B18">
        <w:trPr>
          <w:trHeight w:val="3938"/>
        </w:trPr>
        <w:tc>
          <w:tcPr>
            <w:tcW w:w="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6.5.12 </w:t>
            </w:r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Distinguish between type I and type II diabetes. </w:t>
            </w:r>
          </w:p>
        </w:tc>
        <w:tc>
          <w:tcPr>
            <w:tcW w:w="267" w:type="dxa"/>
            <w:tcBorders>
              <w:top w:val="single" w:sz="4" w:space="0" w:color="808080"/>
              <w:bottom w:val="single" w:sz="4" w:space="0" w:color="808080"/>
            </w:tcBorders>
          </w:tcPr>
          <w:p w:rsidR="00154B18" w:rsidRDefault="00154B18" w:rsidP="00154B18">
            <w:pPr>
              <w:pStyle w:val="Default"/>
              <w:rPr>
                <w:color w:val="211D1E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808080"/>
              <w:bottom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i/>
                <w:iCs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i/>
                <w:iCs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b/>
                <w:bCs/>
                <w:color w:val="211D1E"/>
                <w:sz w:val="18"/>
                <w:szCs w:val="18"/>
              </w:rPr>
              <w:t>Aim 8</w:t>
            </w:r>
            <w:proofErr w:type="gramStart"/>
            <w:r>
              <w:rPr>
                <w:b/>
                <w:bCs/>
                <w:color w:val="211D1E"/>
                <w:sz w:val="18"/>
                <w:szCs w:val="18"/>
              </w:rPr>
              <w:t>:</w:t>
            </w:r>
            <w:r>
              <w:rPr>
                <w:color w:val="211D1E"/>
                <w:sz w:val="18"/>
                <w:szCs w:val="18"/>
              </w:rPr>
              <w:t>Diabetes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 is having an increasing effect on human societies around the world, including personal suffering due to ill health from the diabetes directly but also from side-effects such as kidney failure. There are economic consequences relating to the health-care costs of treating diabetics. </w:t>
            </w:r>
          </w:p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</w:p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11D1E"/>
                <w:sz w:val="18"/>
                <w:szCs w:val="18"/>
              </w:rPr>
              <w:t>TOK</w:t>
            </w:r>
            <w:proofErr w:type="gramStart"/>
            <w:r>
              <w:rPr>
                <w:b/>
                <w:bCs/>
                <w:color w:val="211D1E"/>
                <w:sz w:val="18"/>
                <w:szCs w:val="18"/>
              </w:rPr>
              <w:t>:</w:t>
            </w:r>
            <w:r>
              <w:rPr>
                <w:color w:val="211D1E"/>
                <w:sz w:val="18"/>
                <w:szCs w:val="18"/>
              </w:rPr>
              <w:t>The</w:t>
            </w:r>
            <w:proofErr w:type="spellEnd"/>
            <w:proofErr w:type="gramEnd"/>
            <w:r>
              <w:rPr>
                <w:color w:val="211D1E"/>
                <w:sz w:val="18"/>
                <w:szCs w:val="18"/>
              </w:rPr>
              <w:t xml:space="preserve"> causes of the variation in rates of type II diabetes in different human populations could be </w:t>
            </w:r>
            <w:proofErr w:type="spellStart"/>
            <w:r>
              <w:rPr>
                <w:color w:val="211D1E"/>
                <w:sz w:val="18"/>
                <w:szCs w:val="18"/>
              </w:rPr>
              <w:t>analysed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. Rates can be particularly high when individuals consume a diet very different to the traditional one of their ancestors, for example, when having migrated to a new country. There are genetic differences in our capacity to cope with high levels of refined sugar and fat in the diet. </w:t>
            </w:r>
            <w:r w:rsidRPr="00154B18">
              <w:rPr>
                <w:color w:val="211D1E"/>
                <w:sz w:val="18"/>
                <w:szCs w:val="18"/>
              </w:rPr>
              <w:t>Humans also vary considerably in how prone they are to become obese.</w:t>
            </w:r>
            <w:r>
              <w:rPr>
                <w:color w:val="211D1E"/>
                <w:sz w:val="18"/>
                <w:szCs w:val="18"/>
              </w:rPr>
              <w:t xml:space="preserve"> </w:t>
            </w:r>
          </w:p>
        </w:tc>
      </w:tr>
    </w:tbl>
    <w:p w:rsidR="00B44DB1" w:rsidRDefault="00B44DB1" w:rsidP="00B44DB1">
      <w:pPr>
        <w:pStyle w:val="Default"/>
        <w:rPr>
          <w:rFonts w:cs="Times New Roman"/>
          <w:color w:val="auto"/>
        </w:rPr>
      </w:pPr>
    </w:p>
    <w:p w:rsidR="00B44DB1" w:rsidRDefault="00B44DB1"/>
    <w:p w:rsidR="004B5390" w:rsidRDefault="004B5390"/>
    <w:p w:rsidR="004B5390" w:rsidRDefault="004B5390"/>
    <w:p w:rsidR="004B5390" w:rsidRDefault="004B5390"/>
    <w:p w:rsidR="004B5390" w:rsidRDefault="004B5390"/>
    <w:p w:rsidR="004B5390" w:rsidRDefault="004B5390"/>
    <w:p w:rsidR="004B5390" w:rsidRDefault="004B5390"/>
    <w:p w:rsidR="00B44DB1" w:rsidRDefault="00B44DB1" w:rsidP="00B44DB1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lastRenderedPageBreak/>
        <w:t>H1 Hormonal control</w:t>
      </w:r>
    </w:p>
    <w:p w:rsidR="00B44DB1" w:rsidRDefault="00B44DB1" w:rsidP="00B44DB1">
      <w:pPr>
        <w:pStyle w:val="Default"/>
      </w:pPr>
    </w:p>
    <w:tbl>
      <w:tblPr>
        <w:tblW w:w="794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60"/>
        <w:gridCol w:w="3118"/>
        <w:gridCol w:w="3970"/>
      </w:tblGrid>
      <w:tr w:rsidR="00154B18" w:rsidTr="00154B18">
        <w:trPr>
          <w:trHeight w:val="38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54B18" w:rsidRDefault="00154B18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Assessment statement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54B18" w:rsidRDefault="00154B18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Teacher’s notes </w:t>
            </w:r>
          </w:p>
        </w:tc>
      </w:tr>
      <w:tr w:rsidR="00154B18" w:rsidTr="00154B18">
        <w:trPr>
          <w:trHeight w:val="102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H.1.1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State </w:t>
            </w:r>
            <w:proofErr w:type="gramStart"/>
            <w:r>
              <w:rPr>
                <w:color w:val="211D1E"/>
                <w:sz w:val="18"/>
                <w:szCs w:val="18"/>
              </w:rPr>
              <w:t>that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 hormones are chemical messengers secreted by endocrine glands into the blood and transported to specific target cells.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80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H.1.2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State </w:t>
            </w:r>
            <w:proofErr w:type="gramStart"/>
            <w:r>
              <w:rPr>
                <w:color w:val="211D1E"/>
                <w:sz w:val="18"/>
                <w:szCs w:val="18"/>
              </w:rPr>
              <w:t>that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 hormones can be steroids, proteins and tyrosine derivatives, with one example of each.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102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H.1.3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Distinguish between the mode of action of </w:t>
            </w:r>
            <w:r>
              <w:rPr>
                <w:i/>
                <w:iCs/>
                <w:color w:val="211D1E"/>
                <w:sz w:val="18"/>
                <w:szCs w:val="18"/>
              </w:rPr>
              <w:t xml:space="preserve">steroid </w:t>
            </w:r>
            <w:r>
              <w:rPr>
                <w:color w:val="211D1E"/>
                <w:sz w:val="18"/>
                <w:szCs w:val="18"/>
              </w:rPr>
              <w:t xml:space="preserve">hormones and </w:t>
            </w:r>
            <w:r>
              <w:rPr>
                <w:i/>
                <w:iCs/>
                <w:color w:val="211D1E"/>
                <w:sz w:val="18"/>
                <w:szCs w:val="18"/>
              </w:rPr>
              <w:t>protein</w:t>
            </w:r>
            <w:r w:rsidR="00B72EAD">
              <w:rPr>
                <w:i/>
                <w:iCs/>
                <w:color w:val="211D1E"/>
                <w:sz w:val="18"/>
                <w:szCs w:val="18"/>
              </w:rPr>
              <w:t xml:space="preserve"> </w:t>
            </w:r>
            <w:r>
              <w:rPr>
                <w:color w:val="211D1E"/>
                <w:sz w:val="18"/>
                <w:szCs w:val="18"/>
              </w:rPr>
              <w:t xml:space="preserve">hormones.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Steroid hormones enter cells and interact with genes directly. Protein hormones bind to receptors in the membrane, which causes the release of a secondary messenger inside the cell. </w:t>
            </w:r>
          </w:p>
        </w:tc>
      </w:tr>
      <w:tr w:rsidR="00154B18" w:rsidTr="00154B18">
        <w:trPr>
          <w:trHeight w:val="102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H.1.4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Outline the relationship between the hypothalamus and the pituitary gland.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Include the portal vein connecting the hypothalamus and the anterior pituitary gland, and the </w:t>
            </w:r>
            <w:proofErr w:type="spellStart"/>
            <w:r>
              <w:rPr>
                <w:color w:val="211D1E"/>
                <w:sz w:val="18"/>
                <w:szCs w:val="18"/>
              </w:rPr>
              <w:t>neurosecretory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cells connecting the hypothalamus and the posterior pituitary gland. </w:t>
            </w:r>
          </w:p>
        </w:tc>
      </w:tr>
      <w:tr w:rsidR="00154B18" w:rsidTr="00154B18">
        <w:trPr>
          <w:trHeight w:val="102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H.1.5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Explain the control of ADH (vasopressin) secretion by negative feedback.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Include </w:t>
            </w:r>
            <w:proofErr w:type="spellStart"/>
            <w:r>
              <w:rPr>
                <w:color w:val="211D1E"/>
                <w:sz w:val="18"/>
                <w:szCs w:val="18"/>
              </w:rPr>
              <w:t>neurosecretory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cells in the hypothalamus, transport of ADH to the posterior pituitary gland for storage, and release under stimulus by </w:t>
            </w:r>
            <w:proofErr w:type="spellStart"/>
            <w:r>
              <w:rPr>
                <w:color w:val="211D1E"/>
                <w:sz w:val="18"/>
                <w:szCs w:val="18"/>
              </w:rPr>
              <w:t>osmoreceptors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in the hypothalamus. </w:t>
            </w:r>
          </w:p>
        </w:tc>
      </w:tr>
    </w:tbl>
    <w:p w:rsidR="004B5390" w:rsidRDefault="004B5390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0B2AE7" w:rsidRDefault="000B2AE7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2273B3" w:rsidRDefault="002273B3" w:rsidP="002273B3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lastRenderedPageBreak/>
        <w:t>11.3 The kidney</w:t>
      </w:r>
    </w:p>
    <w:p w:rsidR="002273B3" w:rsidRDefault="002273B3" w:rsidP="002273B3">
      <w:pPr>
        <w:pStyle w:val="Default"/>
      </w:pPr>
    </w:p>
    <w:tbl>
      <w:tblPr>
        <w:tblW w:w="794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60"/>
        <w:gridCol w:w="3118"/>
        <w:gridCol w:w="3970"/>
      </w:tblGrid>
      <w:tr w:rsidR="00154B18" w:rsidTr="00154B18">
        <w:trPr>
          <w:trHeight w:val="41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54B18" w:rsidRDefault="00154B18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Assessment statement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54B18" w:rsidRDefault="00154B18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Teacher’s notes </w:t>
            </w:r>
          </w:p>
        </w:tc>
      </w:tr>
      <w:tr w:rsidR="00154B18" w:rsidTr="00154B18">
        <w:trPr>
          <w:trHeight w:val="31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11.3.1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Define </w:t>
            </w:r>
            <w:r>
              <w:rPr>
                <w:i/>
                <w:iCs/>
                <w:color w:val="211D1E"/>
                <w:sz w:val="18"/>
                <w:szCs w:val="18"/>
              </w:rPr>
              <w:t>excretion</w:t>
            </w:r>
            <w:r>
              <w:rPr>
                <w:color w:val="211D1E"/>
                <w:sz w:val="18"/>
                <w:szCs w:val="18"/>
              </w:rPr>
              <w:t xml:space="preserve">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Excretion is the removal from the body of the waste </w:t>
            </w:r>
          </w:p>
        </w:tc>
      </w:tr>
      <w:tr w:rsidR="00154B18" w:rsidTr="00154B18">
        <w:trPr>
          <w:trHeight w:val="270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proofErr w:type="gramStart"/>
            <w:r>
              <w:rPr>
                <w:color w:val="211D1E"/>
                <w:sz w:val="18"/>
                <w:szCs w:val="18"/>
              </w:rPr>
              <w:t>products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 of metabolic pathways. </w:t>
            </w:r>
          </w:p>
        </w:tc>
      </w:tr>
      <w:tr w:rsidR="00154B18" w:rsidTr="00154B18">
        <w:trPr>
          <w:trHeight w:val="31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11.3.2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Draw and label a diagram of the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Include the cortex, medulla, pelvis, </w:t>
            </w:r>
            <w:proofErr w:type="spellStart"/>
            <w:r>
              <w:rPr>
                <w:color w:val="211D1E"/>
                <w:sz w:val="18"/>
                <w:szCs w:val="18"/>
              </w:rPr>
              <w:t>ureter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and renal </w:t>
            </w:r>
          </w:p>
        </w:tc>
      </w:tr>
      <w:tr w:rsidR="00154B18" w:rsidTr="00154B18">
        <w:trPr>
          <w:trHeight w:val="270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proofErr w:type="gramStart"/>
            <w:r>
              <w:rPr>
                <w:color w:val="211D1E"/>
                <w:sz w:val="18"/>
                <w:szCs w:val="18"/>
              </w:rPr>
              <w:t>kidney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. </w:t>
            </w:r>
          </w:p>
        </w:tc>
        <w:tc>
          <w:tcPr>
            <w:tcW w:w="39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proofErr w:type="gramStart"/>
            <w:r>
              <w:rPr>
                <w:color w:val="211D1E"/>
                <w:sz w:val="18"/>
                <w:szCs w:val="18"/>
              </w:rPr>
              <w:t>blood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 vessels. </w:t>
            </w:r>
          </w:p>
        </w:tc>
      </w:tr>
      <w:tr w:rsidR="00154B18" w:rsidTr="00154B18">
        <w:trPr>
          <w:trHeight w:val="315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11.3.3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Annotate a diagram of a </w:t>
            </w:r>
            <w:proofErr w:type="spellStart"/>
            <w:r>
              <w:rPr>
                <w:color w:val="211D1E"/>
                <w:sz w:val="18"/>
                <w:szCs w:val="18"/>
              </w:rPr>
              <w:t>glomerulus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218"/>
        </w:trPr>
        <w:tc>
          <w:tcPr>
            <w:tcW w:w="86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and associated </w:t>
            </w:r>
            <w:proofErr w:type="spellStart"/>
            <w:r>
              <w:rPr>
                <w:color w:val="211D1E"/>
                <w:sz w:val="18"/>
                <w:szCs w:val="18"/>
              </w:rPr>
              <w:t>nephron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to show the </w:t>
            </w:r>
          </w:p>
        </w:tc>
        <w:tc>
          <w:tcPr>
            <w:tcW w:w="397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270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proofErr w:type="gramStart"/>
            <w:r>
              <w:rPr>
                <w:color w:val="211D1E"/>
                <w:sz w:val="18"/>
                <w:szCs w:val="18"/>
              </w:rPr>
              <w:t>function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 of each part. </w:t>
            </w:r>
          </w:p>
        </w:tc>
        <w:tc>
          <w:tcPr>
            <w:tcW w:w="39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31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11.3.4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Explain the process of </w:t>
            </w:r>
            <w:proofErr w:type="spellStart"/>
            <w:r>
              <w:rPr>
                <w:color w:val="211D1E"/>
                <w:sz w:val="18"/>
                <w:szCs w:val="18"/>
              </w:rPr>
              <w:t>ultrafiltration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,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218"/>
        </w:trPr>
        <w:tc>
          <w:tcPr>
            <w:tcW w:w="86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including blood pressure, fenestrated </w:t>
            </w:r>
          </w:p>
        </w:tc>
        <w:tc>
          <w:tcPr>
            <w:tcW w:w="397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220"/>
        </w:trPr>
        <w:tc>
          <w:tcPr>
            <w:tcW w:w="86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blood capillaries and basement </w:t>
            </w:r>
          </w:p>
        </w:tc>
        <w:tc>
          <w:tcPr>
            <w:tcW w:w="397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270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proofErr w:type="gramStart"/>
            <w:r>
              <w:rPr>
                <w:color w:val="211D1E"/>
                <w:sz w:val="18"/>
                <w:szCs w:val="18"/>
              </w:rPr>
              <w:t>membrane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. </w:t>
            </w:r>
          </w:p>
        </w:tc>
        <w:tc>
          <w:tcPr>
            <w:tcW w:w="39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315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11.3.5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Define </w:t>
            </w:r>
            <w:proofErr w:type="spellStart"/>
            <w:r>
              <w:rPr>
                <w:i/>
                <w:iCs/>
                <w:color w:val="211D1E"/>
                <w:sz w:val="18"/>
                <w:szCs w:val="18"/>
              </w:rPr>
              <w:t>osmoregulation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proofErr w:type="spellStart"/>
            <w:r>
              <w:rPr>
                <w:color w:val="211D1E"/>
                <w:sz w:val="18"/>
                <w:szCs w:val="18"/>
              </w:rPr>
              <w:t>Osmoregulation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is the control of the water balance of the blood, tissue or cytoplasm of a living organism.</w:t>
            </w:r>
          </w:p>
        </w:tc>
      </w:tr>
      <w:tr w:rsidR="00154B18" w:rsidTr="00154B18">
        <w:trPr>
          <w:trHeight w:val="218"/>
        </w:trPr>
        <w:tc>
          <w:tcPr>
            <w:tcW w:w="86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</w:p>
        </w:tc>
      </w:tr>
      <w:tr w:rsidR="00154B18" w:rsidTr="00154B18">
        <w:trPr>
          <w:trHeight w:val="245"/>
        </w:trPr>
        <w:tc>
          <w:tcPr>
            <w:tcW w:w="86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</w:p>
        </w:tc>
      </w:tr>
      <w:tr w:rsidR="00154B18" w:rsidTr="00154B18">
        <w:trPr>
          <w:trHeight w:val="253"/>
        </w:trPr>
        <w:tc>
          <w:tcPr>
            <w:tcW w:w="86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</w:p>
        </w:tc>
      </w:tr>
      <w:tr w:rsidR="00154B18" w:rsidTr="00154B18">
        <w:trPr>
          <w:trHeight w:val="220"/>
        </w:trPr>
        <w:tc>
          <w:tcPr>
            <w:tcW w:w="86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</w:p>
        </w:tc>
      </w:tr>
      <w:tr w:rsidR="00154B18" w:rsidTr="00154B18">
        <w:trPr>
          <w:trHeight w:val="270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 </w:t>
            </w:r>
          </w:p>
        </w:tc>
      </w:tr>
    </w:tbl>
    <w:p w:rsidR="002273B3" w:rsidRDefault="002273B3" w:rsidP="002273B3">
      <w:pPr>
        <w:pStyle w:val="Default"/>
        <w:rPr>
          <w:rFonts w:cs="Times New Roman"/>
          <w:color w:val="auto"/>
        </w:rPr>
      </w:pPr>
    </w:p>
    <w:p w:rsidR="002273B3" w:rsidRDefault="002273B3" w:rsidP="002273B3">
      <w:pPr>
        <w:pStyle w:val="Default"/>
      </w:pPr>
    </w:p>
    <w:tbl>
      <w:tblPr>
        <w:tblW w:w="794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60"/>
        <w:gridCol w:w="3118"/>
        <w:gridCol w:w="3970"/>
      </w:tblGrid>
      <w:tr w:rsidR="00154B18" w:rsidTr="00154B18">
        <w:trPr>
          <w:trHeight w:val="41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54B18" w:rsidRDefault="00154B18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Assessment statement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54B18" w:rsidRDefault="00154B18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Teacher’s notes </w:t>
            </w:r>
          </w:p>
        </w:tc>
      </w:tr>
      <w:tr w:rsidR="00154B18" w:rsidTr="00154B18">
        <w:trPr>
          <w:trHeight w:val="124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11.3.6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Explain the </w:t>
            </w:r>
            <w:proofErr w:type="spellStart"/>
            <w:r>
              <w:rPr>
                <w:color w:val="211D1E"/>
                <w:sz w:val="18"/>
                <w:szCs w:val="18"/>
              </w:rPr>
              <w:t>reabsorption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of glucose, water and salts in the proximal convoluted tubule, including the roles of </w:t>
            </w:r>
            <w:proofErr w:type="spellStart"/>
            <w:r>
              <w:rPr>
                <w:color w:val="211D1E"/>
                <w:sz w:val="18"/>
                <w:szCs w:val="18"/>
              </w:rPr>
              <w:t>microvilli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, osmosis and active transport.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102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11.3.7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Explain the roles of the loop of </w:t>
            </w:r>
            <w:proofErr w:type="spellStart"/>
            <w:r>
              <w:rPr>
                <w:color w:val="211D1E"/>
                <w:sz w:val="18"/>
                <w:szCs w:val="18"/>
              </w:rPr>
              <w:t>Henle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, medulla, collecting duct and ADH (vasopressin) in maintaining the water balance of the blood.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Details of the control of ADH secretion are only required in option H (see H.1.5). </w:t>
            </w:r>
          </w:p>
        </w:tc>
      </w:tr>
      <w:tr w:rsidR="00154B18" w:rsidTr="00154B18">
        <w:trPr>
          <w:trHeight w:val="102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11.3.8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Explain the differences in the concentration of proteins, glucose and urea between blood plasma, </w:t>
            </w:r>
            <w:proofErr w:type="spellStart"/>
            <w:r>
              <w:rPr>
                <w:color w:val="211D1E"/>
                <w:sz w:val="18"/>
                <w:szCs w:val="18"/>
              </w:rPr>
              <w:t>glomerular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filtrate and urine.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54B18" w:rsidTr="00154B18">
        <w:trPr>
          <w:trHeight w:val="58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11.3.9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B18" w:rsidRDefault="00154B18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Explain the presence of glucose in the urine of untreated diabetic patients.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B18" w:rsidRDefault="00154B1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2273B3" w:rsidRDefault="002273B3" w:rsidP="002273B3">
      <w:pPr>
        <w:pStyle w:val="Default"/>
        <w:rPr>
          <w:rFonts w:cs="Times New Roman"/>
          <w:color w:val="auto"/>
        </w:rPr>
      </w:pPr>
    </w:p>
    <w:p w:rsidR="00B44DB1" w:rsidRDefault="00B44DB1" w:rsidP="00B44DB1">
      <w:pPr>
        <w:pStyle w:val="Default"/>
        <w:rPr>
          <w:rFonts w:cs="Times New Roman"/>
          <w:color w:val="auto"/>
        </w:rPr>
      </w:pPr>
    </w:p>
    <w:p w:rsidR="00DC72CC" w:rsidRDefault="000B2AE7"/>
    <w:sectPr w:rsidR="00DC72CC" w:rsidSect="00DC72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44DB1"/>
    <w:rsid w:val="000206E9"/>
    <w:rsid w:val="000B2AE7"/>
    <w:rsid w:val="00154B18"/>
    <w:rsid w:val="00215DCC"/>
    <w:rsid w:val="002273B3"/>
    <w:rsid w:val="004B5390"/>
    <w:rsid w:val="005B07EA"/>
    <w:rsid w:val="00691734"/>
    <w:rsid w:val="0082711B"/>
    <w:rsid w:val="00B44DB1"/>
    <w:rsid w:val="00B72EAD"/>
    <w:rsid w:val="00C54CDE"/>
    <w:rsid w:val="00C579C1"/>
    <w:rsid w:val="00E334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4DB1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839</Words>
  <Characters>4788</Characters>
  <Application>Microsoft Office Word</Application>
  <DocSecurity>0</DocSecurity>
  <Lines>39</Lines>
  <Paragraphs>11</Paragraphs>
  <ScaleCrop>false</ScaleCrop>
  <Company>Littleton Public Schools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Mann</dc:creator>
  <cp:lastModifiedBy>Littleton Public Schools</cp:lastModifiedBy>
  <cp:revision>7</cp:revision>
  <dcterms:created xsi:type="dcterms:W3CDTF">2012-12-28T16:51:00Z</dcterms:created>
  <dcterms:modified xsi:type="dcterms:W3CDTF">2013-01-16T14:53:00Z</dcterms:modified>
</cp:coreProperties>
</file>